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78" w:rsidRPr="00F87F42" w:rsidRDefault="00FC5C78" w:rsidP="00FC5C78">
      <w:pPr>
        <w:ind w:firstLine="567"/>
        <w:jc w:val="center"/>
        <w:rPr>
          <w:b/>
          <w:sz w:val="40"/>
          <w:szCs w:val="40"/>
          <w:lang w:val="uk-UA"/>
        </w:rPr>
      </w:pPr>
      <w:r w:rsidRPr="00F87F42">
        <w:rPr>
          <w:b/>
          <w:sz w:val="40"/>
          <w:szCs w:val="40"/>
          <w:lang w:val="uk-UA"/>
        </w:rPr>
        <w:t>3. Нарахування та облік амортизації</w:t>
      </w:r>
    </w:p>
    <w:p w:rsidR="00FC5C78" w:rsidRPr="00C07516" w:rsidRDefault="00FC5C78" w:rsidP="00FC5C78">
      <w:pPr>
        <w:ind w:firstLine="567"/>
        <w:jc w:val="center"/>
        <w:rPr>
          <w:lang w:val="uk-UA"/>
        </w:rPr>
      </w:pPr>
    </w:p>
    <w:p w:rsidR="00FC5C78" w:rsidRPr="003972BA" w:rsidRDefault="00FC5C78" w:rsidP="00FC5C78">
      <w:pPr>
        <w:ind w:firstLine="567"/>
        <w:jc w:val="both"/>
        <w:rPr>
          <w:sz w:val="28"/>
          <w:szCs w:val="28"/>
          <w:lang w:val="uk-UA"/>
        </w:rPr>
      </w:pPr>
      <w:r w:rsidRPr="003972BA">
        <w:rPr>
          <w:sz w:val="28"/>
          <w:szCs w:val="28"/>
          <w:lang w:val="uk-UA"/>
        </w:rPr>
        <w:t>Об’єктом амортизації є основні засоби (крім землі).</w:t>
      </w:r>
    </w:p>
    <w:p w:rsidR="00FC5C78" w:rsidRPr="003972BA" w:rsidRDefault="00FC5C78" w:rsidP="00FC5C78">
      <w:pPr>
        <w:ind w:firstLine="567"/>
        <w:jc w:val="both"/>
        <w:rPr>
          <w:sz w:val="28"/>
          <w:szCs w:val="28"/>
          <w:lang w:val="uk-UA"/>
        </w:rPr>
      </w:pPr>
      <w:r w:rsidRPr="003972BA">
        <w:rPr>
          <w:sz w:val="28"/>
          <w:szCs w:val="28"/>
          <w:lang w:val="uk-UA"/>
        </w:rPr>
        <w:t>Амортизація (знос) нараховується протягом строку корисного використання (експлуатації) об’єкта основних засобів, який визначається підприємством при визнанні цього об’єкта активом (при зарахуванні на баланс) і призупиняється на період його реконструк</w:t>
      </w:r>
      <w:r w:rsidRPr="003972BA">
        <w:rPr>
          <w:sz w:val="28"/>
          <w:szCs w:val="28"/>
          <w:lang w:val="uk-UA"/>
        </w:rPr>
        <w:softHyphen/>
        <w:t>ції, модернізації, добудови, дообладнання та консервації.</w:t>
      </w:r>
    </w:p>
    <w:p w:rsidR="00FC5C78" w:rsidRPr="003972BA" w:rsidRDefault="00FC5C78" w:rsidP="00FC5C78">
      <w:pPr>
        <w:ind w:firstLine="567"/>
        <w:jc w:val="both"/>
        <w:rPr>
          <w:sz w:val="28"/>
          <w:szCs w:val="28"/>
          <w:lang w:val="uk-UA"/>
        </w:rPr>
      </w:pPr>
      <w:r w:rsidRPr="003972BA">
        <w:rPr>
          <w:sz w:val="28"/>
          <w:szCs w:val="28"/>
          <w:lang w:val="uk-UA"/>
        </w:rPr>
        <w:t>Фактори, які впливають на визначення строку корисного використання:</w:t>
      </w:r>
    </w:p>
    <w:p w:rsidR="00FC5C78" w:rsidRPr="003972BA" w:rsidRDefault="00FC5C78" w:rsidP="00FC5C78">
      <w:pPr>
        <w:ind w:firstLine="567"/>
        <w:jc w:val="both"/>
        <w:rPr>
          <w:sz w:val="28"/>
          <w:szCs w:val="28"/>
          <w:lang w:val="uk-UA"/>
        </w:rPr>
      </w:pPr>
      <w:r w:rsidRPr="003972BA">
        <w:rPr>
          <w:sz w:val="28"/>
          <w:szCs w:val="28"/>
          <w:lang w:val="uk-UA"/>
        </w:rPr>
        <w:t>очікуване використання об’єкта з урахуванням його потужності або продуктивності;</w:t>
      </w:r>
    </w:p>
    <w:p w:rsidR="00FC5C78" w:rsidRPr="003972BA" w:rsidRDefault="00FC5C78" w:rsidP="00FC5C78">
      <w:pPr>
        <w:ind w:firstLine="567"/>
        <w:jc w:val="both"/>
        <w:rPr>
          <w:sz w:val="28"/>
          <w:szCs w:val="28"/>
          <w:lang w:val="uk-UA"/>
        </w:rPr>
      </w:pPr>
      <w:r w:rsidRPr="003972BA">
        <w:rPr>
          <w:sz w:val="28"/>
          <w:szCs w:val="28"/>
          <w:lang w:val="uk-UA"/>
        </w:rPr>
        <w:t>фізичний та моральний знос, що передбачається;</w:t>
      </w:r>
    </w:p>
    <w:p w:rsidR="00FC5C78" w:rsidRPr="003972BA" w:rsidRDefault="00FC5C78" w:rsidP="00FC5C78">
      <w:pPr>
        <w:ind w:firstLine="567"/>
        <w:jc w:val="both"/>
        <w:rPr>
          <w:sz w:val="28"/>
          <w:szCs w:val="28"/>
          <w:lang w:val="uk-UA"/>
        </w:rPr>
      </w:pPr>
      <w:r w:rsidRPr="003972BA">
        <w:rPr>
          <w:sz w:val="28"/>
          <w:szCs w:val="28"/>
          <w:lang w:val="uk-UA"/>
        </w:rPr>
        <w:t>правові або подібні обмеження використання об’єкта.</w:t>
      </w:r>
    </w:p>
    <w:p w:rsidR="00FC5C78" w:rsidRPr="003972BA" w:rsidRDefault="00FC5C78" w:rsidP="00FC5C78">
      <w:pPr>
        <w:ind w:firstLine="567"/>
        <w:jc w:val="both"/>
        <w:rPr>
          <w:sz w:val="28"/>
          <w:szCs w:val="28"/>
          <w:lang w:val="uk-UA"/>
        </w:rPr>
      </w:pPr>
      <w:r w:rsidRPr="003972BA">
        <w:rPr>
          <w:sz w:val="28"/>
          <w:szCs w:val="28"/>
          <w:lang w:val="uk-UA"/>
        </w:rPr>
        <w:t>Строк корисного використання може переглядатися у разі зміни очікуваних економічних вигод від цього об’єкта.</w:t>
      </w:r>
    </w:p>
    <w:p w:rsidR="00FC5C78" w:rsidRPr="003972BA" w:rsidRDefault="00FC5C78" w:rsidP="00FC5C78">
      <w:pPr>
        <w:ind w:firstLine="567"/>
        <w:jc w:val="both"/>
        <w:rPr>
          <w:sz w:val="28"/>
          <w:szCs w:val="28"/>
          <w:lang w:val="uk-UA"/>
        </w:rPr>
      </w:pPr>
      <w:r w:rsidRPr="003972BA">
        <w:rPr>
          <w:sz w:val="28"/>
          <w:szCs w:val="28"/>
          <w:lang w:val="uk-UA"/>
        </w:rPr>
        <w:t>Амортизація об’єкта основних засобів нараховується, виходячи з нового строку корисного використання, починаючи з місяця, наступного за місяцем зміни строку корисного використання, за одним з методів, наведених на рис. 6.11.</w:t>
      </w:r>
    </w:p>
    <w:p w:rsidR="00FC5C78" w:rsidRDefault="00FC5C78" w:rsidP="00FC5C78">
      <w:pPr>
        <w:ind w:firstLine="567"/>
        <w:jc w:val="center"/>
        <w:rPr>
          <w:lang w:val="uk-UA"/>
        </w:rPr>
      </w:pPr>
    </w:p>
    <w:p w:rsidR="00FC5C78" w:rsidRPr="00C07516" w:rsidRDefault="003972BA" w:rsidP="003972BA">
      <w:pPr>
        <w:ind w:hanging="851"/>
        <w:jc w:val="center"/>
        <w:rPr>
          <w:lang w:val="uk-UA"/>
        </w:rPr>
      </w:pPr>
      <w:r w:rsidRPr="00C07516">
        <w:rPr>
          <w:lang w:val="uk-UA"/>
        </w:rPr>
        <w:object w:dxaOrig="5520"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305.25pt" fillcolor="window">
            <v:imagedata r:id="rId4" o:title=""/>
          </v:shape>
        </w:object>
      </w:r>
    </w:p>
    <w:p w:rsidR="00FC5C78" w:rsidRPr="003972BA" w:rsidRDefault="00FC5C78" w:rsidP="00FC5C78">
      <w:pPr>
        <w:ind w:firstLine="567"/>
        <w:jc w:val="center"/>
        <w:rPr>
          <w:sz w:val="28"/>
          <w:szCs w:val="28"/>
          <w:lang w:val="uk-UA"/>
        </w:rPr>
      </w:pPr>
      <w:r w:rsidRPr="003972BA">
        <w:rPr>
          <w:sz w:val="28"/>
          <w:szCs w:val="28"/>
          <w:lang w:val="uk-UA"/>
        </w:rPr>
        <w:t>Рис. 6.11. Методи нарахування амортизації, рекомендовані П(С)БО № 7</w:t>
      </w:r>
    </w:p>
    <w:p w:rsidR="00FC5C78" w:rsidRPr="003972BA" w:rsidRDefault="00FC5C78" w:rsidP="00FC5C78">
      <w:pPr>
        <w:ind w:firstLine="567"/>
        <w:jc w:val="center"/>
        <w:rPr>
          <w:sz w:val="28"/>
          <w:szCs w:val="28"/>
          <w:lang w:val="uk-UA"/>
        </w:rPr>
      </w:pPr>
    </w:p>
    <w:p w:rsidR="00FC5C78" w:rsidRPr="003972BA" w:rsidRDefault="00FC5C78" w:rsidP="00FC5C78">
      <w:pPr>
        <w:ind w:firstLine="567"/>
        <w:jc w:val="both"/>
        <w:rPr>
          <w:sz w:val="28"/>
          <w:szCs w:val="28"/>
          <w:lang w:val="uk-UA"/>
        </w:rPr>
      </w:pPr>
      <w:r w:rsidRPr="003972BA">
        <w:rPr>
          <w:sz w:val="28"/>
          <w:szCs w:val="28"/>
          <w:lang w:val="uk-UA"/>
        </w:rPr>
        <w:t>Сутність кожного методу така:</w:t>
      </w:r>
    </w:p>
    <w:p w:rsidR="00FC5C78" w:rsidRPr="003972BA" w:rsidRDefault="00FC5C78" w:rsidP="00FC5C78">
      <w:pPr>
        <w:ind w:firstLine="567"/>
        <w:jc w:val="both"/>
        <w:rPr>
          <w:sz w:val="28"/>
          <w:szCs w:val="28"/>
          <w:lang w:val="uk-UA"/>
        </w:rPr>
      </w:pPr>
      <w:r w:rsidRPr="003972BA">
        <w:rPr>
          <w:sz w:val="28"/>
          <w:szCs w:val="28"/>
          <w:lang w:val="uk-UA"/>
        </w:rPr>
        <w:lastRenderedPageBreak/>
        <w:t>за прямолінійним методом річна сума амортизації визначається діленням вартості, яка амортизується, на очікуваний період часу використання об’єкту основних засобів;</w:t>
      </w:r>
    </w:p>
    <w:p w:rsidR="00FC5C78" w:rsidRPr="003972BA" w:rsidRDefault="00FC5C78" w:rsidP="00FC5C78">
      <w:pPr>
        <w:ind w:firstLine="567"/>
        <w:jc w:val="both"/>
        <w:rPr>
          <w:sz w:val="28"/>
          <w:szCs w:val="28"/>
          <w:lang w:val="uk-UA"/>
        </w:rPr>
      </w:pPr>
      <w:r w:rsidRPr="003972BA">
        <w:rPr>
          <w:sz w:val="28"/>
          <w:szCs w:val="28"/>
          <w:lang w:val="uk-UA"/>
        </w:rPr>
        <w:t>за методом прискореного зменшення залишкової вартості річна сума амортизації розраховується як добуток залишкової вартості на початок звітного року та норми амортизації, обчис</w:t>
      </w:r>
      <w:r w:rsidRPr="003972BA">
        <w:rPr>
          <w:sz w:val="28"/>
          <w:szCs w:val="28"/>
          <w:lang w:val="uk-UA"/>
        </w:rPr>
        <w:softHyphen/>
        <w:t>леної, виходячи з очікуваного періоду часу, використання об’єк</w:t>
      </w:r>
      <w:r w:rsidRPr="003972BA">
        <w:rPr>
          <w:sz w:val="28"/>
          <w:szCs w:val="28"/>
          <w:lang w:val="uk-UA"/>
        </w:rPr>
        <w:softHyphen/>
        <w:t>та основних засобів, яка подвоюється;</w:t>
      </w:r>
    </w:p>
    <w:p w:rsidR="00FC5C78" w:rsidRPr="003972BA" w:rsidRDefault="00FC5C78" w:rsidP="00FC5C78">
      <w:pPr>
        <w:ind w:firstLine="567"/>
        <w:jc w:val="both"/>
        <w:rPr>
          <w:sz w:val="28"/>
          <w:szCs w:val="28"/>
          <w:lang w:val="uk-UA"/>
        </w:rPr>
      </w:pPr>
      <w:r w:rsidRPr="003972BA">
        <w:rPr>
          <w:sz w:val="28"/>
          <w:szCs w:val="28"/>
          <w:lang w:val="uk-UA"/>
        </w:rPr>
        <w:t>за кумулятивним методом річна сума амортизації визначається як добуток вартості об’єкта, який амортизується, та кумулятивного коефіцієнта:</w:t>
      </w:r>
    </w:p>
    <w:p w:rsidR="00FC5C78" w:rsidRPr="003972BA" w:rsidRDefault="00FC5C78" w:rsidP="00FC5C78">
      <w:pPr>
        <w:ind w:firstLine="567"/>
        <w:jc w:val="center"/>
        <w:rPr>
          <w:sz w:val="28"/>
          <w:szCs w:val="28"/>
          <w:lang w:val="uk-UA"/>
        </w:rPr>
      </w:pPr>
      <w:r w:rsidRPr="003972BA">
        <w:rPr>
          <w:sz w:val="28"/>
          <w:szCs w:val="28"/>
          <w:lang w:val="uk-UA"/>
        </w:rPr>
        <w:object w:dxaOrig="5460" w:dyaOrig="859">
          <v:shape id="_x0000_i1026" type="#_x0000_t75" style="width:270.75pt;height:43.5pt" fillcolor="window">
            <v:imagedata r:id="rId5" o:title=""/>
          </v:shape>
        </w:object>
      </w:r>
      <w:r w:rsidRPr="003972BA">
        <w:rPr>
          <w:sz w:val="28"/>
          <w:szCs w:val="28"/>
          <w:lang w:val="uk-UA"/>
        </w:rPr>
        <w:t>;</w:t>
      </w:r>
    </w:p>
    <w:p w:rsidR="00FC5C78" w:rsidRPr="003972BA" w:rsidRDefault="00FC5C78" w:rsidP="00FC5C78">
      <w:pPr>
        <w:ind w:firstLine="567"/>
        <w:jc w:val="both"/>
        <w:rPr>
          <w:sz w:val="28"/>
          <w:szCs w:val="28"/>
          <w:lang w:val="uk-UA"/>
        </w:rPr>
      </w:pPr>
      <w:r w:rsidRPr="003972BA">
        <w:rPr>
          <w:sz w:val="28"/>
          <w:szCs w:val="28"/>
          <w:lang w:val="uk-UA"/>
        </w:rPr>
        <w:t>за виробничим методом річна сума амортизації визначається як добуток фактичного річного обсягу продукції (робіт, послуг) та виробничої ставки амортизації:</w:t>
      </w:r>
    </w:p>
    <w:p w:rsidR="00FC5C78" w:rsidRPr="003972BA" w:rsidRDefault="00FC5C78" w:rsidP="00FC5C78">
      <w:pPr>
        <w:ind w:firstLine="567"/>
        <w:jc w:val="center"/>
        <w:rPr>
          <w:sz w:val="28"/>
          <w:szCs w:val="28"/>
          <w:lang w:val="uk-UA"/>
        </w:rPr>
      </w:pPr>
      <w:r w:rsidRPr="003972BA">
        <w:rPr>
          <w:sz w:val="28"/>
          <w:szCs w:val="28"/>
          <w:lang w:val="uk-UA"/>
        </w:rPr>
        <w:object w:dxaOrig="5679" w:dyaOrig="920">
          <v:shape id="_x0000_i1027" type="#_x0000_t75" style="width:282pt;height:46.5pt" fillcolor="window">
            <v:imagedata r:id="rId6" o:title=""/>
          </v:shape>
        </w:object>
      </w:r>
    </w:p>
    <w:p w:rsidR="00FC5C78" w:rsidRPr="003972BA" w:rsidRDefault="00FC5C78" w:rsidP="00FC5C78">
      <w:pPr>
        <w:ind w:firstLine="567"/>
        <w:jc w:val="both"/>
        <w:rPr>
          <w:sz w:val="28"/>
          <w:szCs w:val="28"/>
          <w:lang w:val="uk-UA"/>
        </w:rPr>
      </w:pPr>
      <w:r w:rsidRPr="003972BA">
        <w:rPr>
          <w:sz w:val="28"/>
          <w:szCs w:val="28"/>
          <w:lang w:val="uk-UA"/>
        </w:rPr>
        <w:t>за методом зменшення залишкової вартості 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Річна норма амортизації обчислюється як різниця між одиницею та результатом кореня ступеня кількості років корисного використання об’єкта з результату від ділення ліквідаційної вартості об’єкта на його первісну вартість.</w:t>
      </w:r>
    </w:p>
    <w:p w:rsidR="00FC5C78" w:rsidRPr="003972BA" w:rsidRDefault="00FC5C78" w:rsidP="00FC5C78">
      <w:pPr>
        <w:ind w:firstLine="567"/>
        <w:jc w:val="both"/>
        <w:rPr>
          <w:sz w:val="28"/>
          <w:szCs w:val="28"/>
          <w:lang w:val="uk-UA"/>
        </w:rPr>
      </w:pPr>
      <w:r w:rsidRPr="003972BA">
        <w:rPr>
          <w:sz w:val="28"/>
          <w:szCs w:val="28"/>
          <w:lang w:val="uk-UA"/>
        </w:rPr>
        <w:t>Метод амортизації об’єкта переглядається, якщо змінюються очікувані способи отримування економічних вигод від його використання. Амортизація за новим методом починає нараховуватись, починаючи з місяця, наступного за місяцем зміни методу амортизації.</w:t>
      </w:r>
    </w:p>
    <w:p w:rsidR="00FC5C78" w:rsidRPr="003972BA" w:rsidRDefault="00FC5C78" w:rsidP="00FC5C78">
      <w:pPr>
        <w:ind w:firstLine="567"/>
        <w:jc w:val="both"/>
        <w:rPr>
          <w:sz w:val="28"/>
          <w:szCs w:val="28"/>
          <w:lang w:val="uk-UA"/>
        </w:rPr>
      </w:pPr>
      <w:r w:rsidRPr="003972BA">
        <w:rPr>
          <w:sz w:val="28"/>
          <w:szCs w:val="28"/>
          <w:lang w:val="uk-UA"/>
        </w:rPr>
        <w:t>Нарахування амортизації:</w:t>
      </w:r>
    </w:p>
    <w:p w:rsidR="00FC5C78" w:rsidRPr="003972BA" w:rsidRDefault="00FC5C78" w:rsidP="00FC5C78">
      <w:pPr>
        <w:ind w:firstLine="567"/>
        <w:jc w:val="both"/>
        <w:rPr>
          <w:sz w:val="28"/>
          <w:szCs w:val="28"/>
          <w:lang w:val="uk-UA"/>
        </w:rPr>
      </w:pPr>
      <w:r w:rsidRPr="003972BA">
        <w:rPr>
          <w:sz w:val="28"/>
          <w:szCs w:val="28"/>
          <w:lang w:val="uk-UA"/>
        </w:rPr>
        <w:t>починається з місяця, наступного за місяцем, в якому об’єкт основних засобів визнано активом;</w:t>
      </w:r>
    </w:p>
    <w:p w:rsidR="00FC5C78" w:rsidRPr="003972BA" w:rsidRDefault="00FC5C78" w:rsidP="00FC5C78">
      <w:pPr>
        <w:ind w:firstLine="567"/>
        <w:jc w:val="both"/>
        <w:rPr>
          <w:sz w:val="28"/>
          <w:szCs w:val="28"/>
          <w:lang w:val="uk-UA"/>
        </w:rPr>
      </w:pPr>
      <w:r w:rsidRPr="003972BA">
        <w:rPr>
          <w:sz w:val="28"/>
          <w:szCs w:val="28"/>
          <w:lang w:val="uk-UA"/>
        </w:rPr>
        <w:t>припиняється, починаючи з місяця, наступного за місяцем вибуття об’єкта з основних засобів;</w:t>
      </w:r>
    </w:p>
    <w:p w:rsidR="00FC5C78" w:rsidRPr="003972BA" w:rsidRDefault="00FC5C78" w:rsidP="00FC5C78">
      <w:pPr>
        <w:ind w:firstLine="567"/>
        <w:jc w:val="both"/>
        <w:rPr>
          <w:sz w:val="28"/>
          <w:szCs w:val="28"/>
          <w:lang w:val="uk-UA"/>
        </w:rPr>
      </w:pPr>
      <w:r w:rsidRPr="003972BA">
        <w:rPr>
          <w:sz w:val="28"/>
          <w:szCs w:val="28"/>
          <w:lang w:val="uk-UA"/>
        </w:rPr>
        <w:t>призупиняється на період реконструкції, модернізації, добудови (дообладнання) та консервації об’єкта основних засобів.</w:t>
      </w:r>
    </w:p>
    <w:p w:rsidR="00FC5C78" w:rsidRPr="003972BA" w:rsidRDefault="00FC5C78" w:rsidP="00FC5C78">
      <w:pPr>
        <w:ind w:firstLine="567"/>
        <w:jc w:val="both"/>
        <w:rPr>
          <w:sz w:val="28"/>
          <w:szCs w:val="28"/>
          <w:lang w:val="uk-UA"/>
        </w:rPr>
      </w:pPr>
      <w:r w:rsidRPr="003972BA">
        <w:rPr>
          <w:sz w:val="28"/>
          <w:szCs w:val="28"/>
          <w:lang w:val="uk-UA"/>
        </w:rPr>
        <w:t>Витрати від зменшення корисності об’єкта включаються до складу витрат звітного року. Вони накопичуються протягом стро</w:t>
      </w:r>
      <w:r w:rsidRPr="003972BA">
        <w:rPr>
          <w:sz w:val="28"/>
          <w:szCs w:val="28"/>
          <w:lang w:val="uk-UA"/>
        </w:rPr>
        <w:softHyphen/>
        <w:t>ку корисного використання і відображаються в балансі у складі зносу основних засобів.</w:t>
      </w:r>
    </w:p>
    <w:p w:rsidR="00FC5C78" w:rsidRPr="003972BA" w:rsidRDefault="00FC5C78" w:rsidP="00FC5C78">
      <w:pPr>
        <w:ind w:firstLine="567"/>
        <w:jc w:val="both"/>
        <w:rPr>
          <w:sz w:val="28"/>
          <w:szCs w:val="28"/>
          <w:lang w:val="uk-UA"/>
        </w:rPr>
      </w:pPr>
      <w:r w:rsidRPr="003972BA">
        <w:rPr>
          <w:sz w:val="28"/>
          <w:szCs w:val="28"/>
          <w:lang w:val="uk-UA"/>
        </w:rPr>
        <w:t>Накопичені за попередні періоди втрати від зменшення корис</w:t>
      </w:r>
      <w:r w:rsidRPr="003972BA">
        <w:rPr>
          <w:sz w:val="28"/>
          <w:szCs w:val="28"/>
          <w:lang w:val="uk-UA"/>
        </w:rPr>
        <w:softHyphen/>
        <w:t xml:space="preserve">ності об’єкта повністю або частково </w:t>
      </w:r>
      <w:proofErr w:type="spellStart"/>
      <w:r w:rsidRPr="003972BA">
        <w:rPr>
          <w:sz w:val="28"/>
          <w:szCs w:val="28"/>
          <w:lang w:val="uk-UA"/>
        </w:rPr>
        <w:t>сторнуються</w:t>
      </w:r>
      <w:proofErr w:type="spellEnd"/>
      <w:r w:rsidRPr="003972BA">
        <w:rPr>
          <w:sz w:val="28"/>
          <w:szCs w:val="28"/>
          <w:lang w:val="uk-UA"/>
        </w:rPr>
        <w:t xml:space="preserve"> в тому звітному періоді, в якому зникли причини зменшення корисності об’єкта основних засобів.</w:t>
      </w:r>
    </w:p>
    <w:p w:rsidR="00FC5C78" w:rsidRPr="003972BA" w:rsidRDefault="00FC5C78" w:rsidP="00FC5C78">
      <w:pPr>
        <w:ind w:firstLine="567"/>
        <w:jc w:val="both"/>
        <w:rPr>
          <w:sz w:val="28"/>
          <w:szCs w:val="28"/>
          <w:lang w:val="uk-UA"/>
        </w:rPr>
      </w:pPr>
      <w:r w:rsidRPr="003972BA">
        <w:rPr>
          <w:sz w:val="28"/>
          <w:szCs w:val="28"/>
          <w:lang w:val="uk-UA"/>
        </w:rPr>
        <w:t>Зменшення корисності — втрата економічної вигоди в сумі перевищення залишкової вартості над сумою очікуваного відшкодування.</w:t>
      </w:r>
    </w:p>
    <w:p w:rsidR="00FC5C78" w:rsidRPr="003972BA" w:rsidRDefault="00FC5C78" w:rsidP="00FC5C78">
      <w:pPr>
        <w:ind w:firstLine="567"/>
        <w:jc w:val="both"/>
        <w:rPr>
          <w:sz w:val="28"/>
          <w:szCs w:val="28"/>
          <w:lang w:val="uk-UA"/>
        </w:rPr>
      </w:pPr>
      <w:r w:rsidRPr="003972BA">
        <w:rPr>
          <w:sz w:val="28"/>
          <w:szCs w:val="28"/>
          <w:lang w:val="uk-UA"/>
        </w:rPr>
        <w:lastRenderedPageBreak/>
        <w:t xml:space="preserve">Амортизація малоцінних необоротних активів і бібліотечних фондів може </w:t>
      </w:r>
      <w:proofErr w:type="spellStart"/>
      <w:r w:rsidRPr="003972BA">
        <w:rPr>
          <w:sz w:val="28"/>
          <w:szCs w:val="28"/>
          <w:lang w:val="uk-UA"/>
        </w:rPr>
        <w:t>нарахуватися</w:t>
      </w:r>
      <w:proofErr w:type="spellEnd"/>
      <w:r w:rsidRPr="003972BA">
        <w:rPr>
          <w:sz w:val="28"/>
          <w:szCs w:val="28"/>
          <w:lang w:val="uk-UA"/>
        </w:rPr>
        <w:t xml:space="preserve"> у першому місяці використання об’єкта в розмірі 50 % вартості об’єктів, які амортизуються, та решта 50 % вартості — у місяці їх вилучення з активів (списання з балансу) внаслідок невідповідності критеріям визнання активом або в першому місяці використання об’єкта 100 % його вартості.</w:t>
      </w:r>
    </w:p>
    <w:p w:rsidR="00FC5C78" w:rsidRPr="003972BA" w:rsidRDefault="00FC5C78" w:rsidP="00FC5C78">
      <w:pPr>
        <w:ind w:firstLine="567"/>
        <w:jc w:val="both"/>
        <w:rPr>
          <w:sz w:val="28"/>
          <w:szCs w:val="28"/>
          <w:lang w:val="uk-UA"/>
        </w:rPr>
      </w:pPr>
      <w:r w:rsidRPr="003972BA">
        <w:rPr>
          <w:sz w:val="28"/>
          <w:szCs w:val="28"/>
          <w:lang w:val="uk-UA"/>
        </w:rPr>
        <w:t>Для накопичення інформації про амортизовану вартість необоротних матеріальних і нематеріальних активів, що підлягають амортизації, передбачено у Плані рахунків рахунок 13 «Знос необоротних активів» (рис. 6.12).</w:t>
      </w:r>
    </w:p>
    <w:p w:rsidR="00FC5C78" w:rsidRPr="003972BA" w:rsidRDefault="00FC5C78" w:rsidP="00FC5C78">
      <w:pPr>
        <w:ind w:firstLine="567"/>
        <w:jc w:val="both"/>
        <w:rPr>
          <w:sz w:val="28"/>
          <w:szCs w:val="28"/>
          <w:lang w:val="uk-UA"/>
        </w:rPr>
      </w:pPr>
    </w:p>
    <w:tbl>
      <w:tblPr>
        <w:tblW w:w="0" w:type="auto"/>
        <w:jc w:val="center"/>
        <w:tblInd w:w="-235" w:type="dxa"/>
        <w:tblLayout w:type="fixed"/>
        <w:tblLook w:val="0000"/>
      </w:tblPr>
      <w:tblGrid>
        <w:gridCol w:w="955"/>
        <w:gridCol w:w="2683"/>
        <w:gridCol w:w="2562"/>
        <w:gridCol w:w="1305"/>
      </w:tblGrid>
      <w:tr w:rsidR="00FC5C78" w:rsidRPr="003972BA" w:rsidTr="008D5566">
        <w:tblPrEx>
          <w:tblCellMar>
            <w:top w:w="0" w:type="dxa"/>
            <w:bottom w:w="0" w:type="dxa"/>
          </w:tblCellMar>
        </w:tblPrEx>
        <w:trPr>
          <w:cantSplit/>
          <w:jc w:val="center"/>
        </w:trPr>
        <w:tc>
          <w:tcPr>
            <w:tcW w:w="955" w:type="dxa"/>
          </w:tcPr>
          <w:p w:rsidR="00FC5C78" w:rsidRPr="003972BA" w:rsidRDefault="00FC5C78" w:rsidP="008D5566">
            <w:pPr>
              <w:rPr>
                <w:sz w:val="28"/>
                <w:szCs w:val="28"/>
                <w:lang w:val="uk-UA"/>
              </w:rPr>
            </w:pPr>
          </w:p>
          <w:p w:rsidR="00FC5C78" w:rsidRPr="003972BA" w:rsidRDefault="00FC5C78" w:rsidP="008D5566">
            <w:pPr>
              <w:rPr>
                <w:sz w:val="28"/>
                <w:szCs w:val="28"/>
                <w:lang w:val="uk-UA"/>
              </w:rPr>
            </w:pPr>
            <w:r w:rsidRPr="003972BA">
              <w:rPr>
                <w:sz w:val="28"/>
                <w:szCs w:val="28"/>
                <w:lang w:val="uk-UA"/>
              </w:rPr>
              <w:t>Дебет</w:t>
            </w:r>
          </w:p>
        </w:tc>
        <w:tc>
          <w:tcPr>
            <w:tcW w:w="5245" w:type="dxa"/>
            <w:gridSpan w:val="2"/>
            <w:tcBorders>
              <w:bottom w:val="single" w:sz="6" w:space="0" w:color="auto"/>
            </w:tcBorders>
          </w:tcPr>
          <w:p w:rsidR="00FC5C78" w:rsidRPr="003972BA" w:rsidRDefault="00FC5C78" w:rsidP="008D5566">
            <w:pPr>
              <w:rPr>
                <w:sz w:val="28"/>
                <w:szCs w:val="28"/>
                <w:lang w:val="uk-UA"/>
              </w:rPr>
            </w:pPr>
            <w:r w:rsidRPr="003972BA">
              <w:rPr>
                <w:sz w:val="28"/>
                <w:szCs w:val="28"/>
                <w:lang w:val="uk-UA"/>
              </w:rPr>
              <w:t>Рахунок 13 «Знос необоротних активів»</w:t>
            </w:r>
          </w:p>
        </w:tc>
        <w:tc>
          <w:tcPr>
            <w:tcW w:w="1305" w:type="dxa"/>
          </w:tcPr>
          <w:p w:rsidR="00FC5C78" w:rsidRPr="003972BA" w:rsidRDefault="00FC5C78" w:rsidP="008D5566">
            <w:pPr>
              <w:rPr>
                <w:sz w:val="28"/>
                <w:szCs w:val="28"/>
                <w:lang w:val="uk-UA"/>
              </w:rPr>
            </w:pPr>
          </w:p>
          <w:p w:rsidR="00FC5C78" w:rsidRPr="003972BA" w:rsidRDefault="00FC5C78" w:rsidP="008D5566">
            <w:pPr>
              <w:rPr>
                <w:sz w:val="28"/>
                <w:szCs w:val="28"/>
                <w:lang w:val="uk-UA"/>
              </w:rPr>
            </w:pPr>
            <w:r w:rsidRPr="003972BA">
              <w:rPr>
                <w:sz w:val="28"/>
                <w:szCs w:val="28"/>
                <w:lang w:val="uk-UA"/>
              </w:rPr>
              <w:t>Кредит</w:t>
            </w:r>
          </w:p>
        </w:tc>
      </w:tr>
      <w:tr w:rsidR="00FC5C78" w:rsidRPr="003972BA" w:rsidTr="008D5566">
        <w:tblPrEx>
          <w:tblCellMar>
            <w:top w:w="0" w:type="dxa"/>
            <w:bottom w:w="0" w:type="dxa"/>
          </w:tblCellMar>
        </w:tblPrEx>
        <w:trPr>
          <w:cantSplit/>
          <w:jc w:val="center"/>
        </w:trPr>
        <w:tc>
          <w:tcPr>
            <w:tcW w:w="3638" w:type="dxa"/>
            <w:gridSpan w:val="2"/>
            <w:tcBorders>
              <w:right w:val="single" w:sz="6" w:space="0" w:color="auto"/>
            </w:tcBorders>
          </w:tcPr>
          <w:p w:rsidR="00FC5C78" w:rsidRPr="003972BA" w:rsidRDefault="00FC5C78" w:rsidP="008D5566">
            <w:pPr>
              <w:rPr>
                <w:sz w:val="28"/>
                <w:szCs w:val="28"/>
                <w:lang w:val="uk-UA"/>
              </w:rPr>
            </w:pPr>
            <w:r w:rsidRPr="003972BA">
              <w:rPr>
                <w:sz w:val="28"/>
                <w:szCs w:val="28"/>
                <w:lang w:val="uk-UA"/>
              </w:rPr>
              <w:t>Зменшення амортизації необоротних активів</w:t>
            </w:r>
          </w:p>
        </w:tc>
        <w:tc>
          <w:tcPr>
            <w:tcW w:w="3867" w:type="dxa"/>
            <w:gridSpan w:val="2"/>
            <w:tcBorders>
              <w:left w:val="single" w:sz="6" w:space="0" w:color="auto"/>
            </w:tcBorders>
          </w:tcPr>
          <w:p w:rsidR="00FC5C78" w:rsidRPr="003972BA" w:rsidRDefault="00FC5C78" w:rsidP="008D5566">
            <w:pPr>
              <w:rPr>
                <w:sz w:val="28"/>
                <w:szCs w:val="28"/>
                <w:lang w:val="uk-UA"/>
              </w:rPr>
            </w:pPr>
            <w:r w:rsidRPr="003972BA">
              <w:rPr>
                <w:sz w:val="28"/>
                <w:szCs w:val="28"/>
                <w:lang w:val="uk-UA"/>
              </w:rPr>
              <w:t>Нарахування амортизації не</w:t>
            </w:r>
            <w:r w:rsidRPr="003972BA">
              <w:rPr>
                <w:sz w:val="28"/>
                <w:szCs w:val="28"/>
                <w:lang w:val="uk-UA"/>
              </w:rPr>
              <w:softHyphen/>
              <w:t>оборотних активів</w:t>
            </w:r>
          </w:p>
        </w:tc>
      </w:tr>
    </w:tbl>
    <w:p w:rsidR="00FC5C78" w:rsidRPr="003972BA" w:rsidRDefault="00FC5C78" w:rsidP="00FC5C78">
      <w:pPr>
        <w:ind w:firstLine="567"/>
        <w:rPr>
          <w:sz w:val="28"/>
          <w:szCs w:val="28"/>
          <w:lang w:val="uk-UA"/>
        </w:rPr>
      </w:pPr>
    </w:p>
    <w:p w:rsidR="00FC5C78" w:rsidRPr="003972BA" w:rsidRDefault="00FC5C78" w:rsidP="00FC5C78">
      <w:pPr>
        <w:ind w:firstLine="567"/>
        <w:jc w:val="both"/>
        <w:rPr>
          <w:sz w:val="28"/>
          <w:szCs w:val="28"/>
          <w:lang w:val="uk-UA"/>
        </w:rPr>
      </w:pPr>
      <w:r w:rsidRPr="003972BA">
        <w:rPr>
          <w:sz w:val="28"/>
          <w:szCs w:val="28"/>
          <w:lang w:val="uk-UA"/>
        </w:rPr>
        <w:t>Рис. 6.12. Зміст господарських операцій, що відображаються за рахунком 13 «Знос необоротних активів»</w:t>
      </w:r>
    </w:p>
    <w:p w:rsidR="00FC5C78" w:rsidRPr="003972BA" w:rsidRDefault="00FC5C78" w:rsidP="00FC5C78">
      <w:pPr>
        <w:ind w:firstLine="567"/>
        <w:jc w:val="both"/>
        <w:rPr>
          <w:sz w:val="28"/>
          <w:szCs w:val="28"/>
          <w:lang w:val="uk-UA"/>
        </w:rPr>
      </w:pPr>
    </w:p>
    <w:p w:rsidR="00FC5C78" w:rsidRPr="003972BA" w:rsidRDefault="00FC5C78" w:rsidP="00FC5C78">
      <w:pPr>
        <w:ind w:firstLine="567"/>
        <w:jc w:val="both"/>
        <w:rPr>
          <w:sz w:val="28"/>
          <w:szCs w:val="28"/>
          <w:lang w:val="uk-UA"/>
        </w:rPr>
      </w:pPr>
      <w:r w:rsidRPr="003972BA">
        <w:rPr>
          <w:sz w:val="28"/>
          <w:szCs w:val="28"/>
          <w:lang w:val="uk-UA"/>
        </w:rPr>
        <w:t>Рахунок 13 «Знос необоротних активів» має такі субрахунки:</w:t>
      </w:r>
    </w:p>
    <w:p w:rsidR="00FC5C78" w:rsidRPr="003972BA" w:rsidRDefault="00FC5C78" w:rsidP="00FC5C78">
      <w:pPr>
        <w:ind w:firstLine="567"/>
        <w:jc w:val="both"/>
        <w:rPr>
          <w:sz w:val="28"/>
          <w:szCs w:val="28"/>
          <w:lang w:val="uk-UA"/>
        </w:rPr>
      </w:pPr>
      <w:r w:rsidRPr="003972BA">
        <w:rPr>
          <w:sz w:val="28"/>
          <w:szCs w:val="28"/>
          <w:lang w:val="uk-UA"/>
        </w:rPr>
        <w:t>131 «Знос основних засобів»</w:t>
      </w:r>
    </w:p>
    <w:p w:rsidR="00FC5C78" w:rsidRPr="003972BA" w:rsidRDefault="00FC5C78" w:rsidP="00FC5C78">
      <w:pPr>
        <w:ind w:firstLine="567"/>
        <w:jc w:val="both"/>
        <w:rPr>
          <w:sz w:val="28"/>
          <w:szCs w:val="28"/>
          <w:lang w:val="uk-UA"/>
        </w:rPr>
      </w:pPr>
      <w:r w:rsidRPr="003972BA">
        <w:rPr>
          <w:sz w:val="28"/>
          <w:szCs w:val="28"/>
          <w:lang w:val="uk-UA"/>
        </w:rPr>
        <w:t>132 «Знос інших необоротних матеріальних активів»</w:t>
      </w:r>
    </w:p>
    <w:p w:rsidR="00FC5C78" w:rsidRPr="003972BA" w:rsidRDefault="00FC5C78" w:rsidP="00FC5C78">
      <w:pPr>
        <w:ind w:firstLine="567"/>
        <w:jc w:val="both"/>
        <w:rPr>
          <w:sz w:val="28"/>
          <w:szCs w:val="28"/>
          <w:lang w:val="uk-UA"/>
        </w:rPr>
      </w:pPr>
      <w:r w:rsidRPr="003972BA">
        <w:rPr>
          <w:sz w:val="28"/>
          <w:szCs w:val="28"/>
          <w:lang w:val="uk-UA"/>
        </w:rPr>
        <w:t>133 «Знос нематеріальних активів»</w:t>
      </w:r>
    </w:p>
    <w:p w:rsidR="00FC5C78" w:rsidRPr="003972BA" w:rsidRDefault="00FC5C78" w:rsidP="00FC5C78">
      <w:pPr>
        <w:ind w:firstLine="567"/>
        <w:jc w:val="both"/>
        <w:rPr>
          <w:sz w:val="28"/>
          <w:szCs w:val="28"/>
          <w:lang w:val="uk-UA"/>
        </w:rPr>
      </w:pPr>
      <w:r w:rsidRPr="003972BA">
        <w:rPr>
          <w:sz w:val="28"/>
          <w:szCs w:val="28"/>
          <w:lang w:val="uk-UA"/>
        </w:rPr>
        <w:t>Кореспонденція рахунків з нарахування амортизації основних засобів наведена на рис. 6.13 і 6.14.</w:t>
      </w:r>
    </w:p>
    <w:p w:rsidR="00FC5C78" w:rsidRPr="003972BA" w:rsidRDefault="00FC5C78" w:rsidP="00FC5C78">
      <w:pPr>
        <w:ind w:firstLine="567"/>
        <w:jc w:val="both"/>
        <w:rPr>
          <w:sz w:val="28"/>
          <w:szCs w:val="28"/>
          <w:lang w:val="uk-UA"/>
        </w:rPr>
      </w:pPr>
    </w:p>
    <w:p w:rsidR="00FC5C78" w:rsidRPr="003972BA" w:rsidRDefault="00FC5C78" w:rsidP="00FC5C78">
      <w:pPr>
        <w:ind w:firstLine="567"/>
        <w:jc w:val="center"/>
        <w:rPr>
          <w:sz w:val="28"/>
          <w:szCs w:val="28"/>
          <w:lang w:val="uk-UA"/>
        </w:rPr>
      </w:pPr>
      <w:r w:rsidRPr="003972BA">
        <w:rPr>
          <w:sz w:val="28"/>
          <w:szCs w:val="28"/>
          <w:lang w:val="uk-UA"/>
        </w:rPr>
        <w:object w:dxaOrig="6435" w:dyaOrig="4650">
          <v:shape id="_x0000_i1028" type="#_x0000_t75" style="width:321.75pt;height:232.5pt" fillcolor="window">
            <v:imagedata r:id="rId7" o:title=""/>
          </v:shape>
        </w:object>
      </w:r>
    </w:p>
    <w:p w:rsidR="00FC5C78" w:rsidRPr="003972BA" w:rsidRDefault="00FC5C78" w:rsidP="00FC5C78">
      <w:pPr>
        <w:ind w:firstLine="567"/>
        <w:rPr>
          <w:sz w:val="28"/>
          <w:szCs w:val="28"/>
          <w:lang w:val="uk-UA"/>
        </w:rPr>
      </w:pPr>
    </w:p>
    <w:p w:rsidR="00FC5C78" w:rsidRPr="003972BA" w:rsidRDefault="00FC5C78" w:rsidP="00FC5C78">
      <w:pPr>
        <w:ind w:firstLine="567"/>
        <w:jc w:val="both"/>
        <w:rPr>
          <w:sz w:val="28"/>
          <w:szCs w:val="28"/>
          <w:lang w:val="uk-UA"/>
        </w:rPr>
      </w:pPr>
      <w:r w:rsidRPr="003972BA">
        <w:rPr>
          <w:sz w:val="28"/>
          <w:szCs w:val="28"/>
          <w:lang w:val="uk-UA"/>
        </w:rPr>
        <w:t>Рис. 6.13. Облік амортизації основних засобів (для підприємств, що не використовують рахунки класу 8 «Витрати за елементами»)</w:t>
      </w:r>
    </w:p>
    <w:p w:rsidR="00FC5C78" w:rsidRPr="003972BA" w:rsidRDefault="00FC5C78" w:rsidP="00FC5C78">
      <w:pPr>
        <w:ind w:firstLine="567"/>
        <w:jc w:val="both"/>
        <w:rPr>
          <w:sz w:val="28"/>
          <w:szCs w:val="28"/>
          <w:lang w:val="uk-UA"/>
        </w:rPr>
      </w:pPr>
    </w:p>
    <w:p w:rsidR="00FC5C78" w:rsidRPr="003972BA" w:rsidRDefault="00FC5C78" w:rsidP="00FC5C78">
      <w:pPr>
        <w:ind w:firstLine="567"/>
        <w:jc w:val="both"/>
        <w:rPr>
          <w:sz w:val="28"/>
          <w:szCs w:val="28"/>
          <w:lang w:val="uk-UA"/>
        </w:rPr>
      </w:pPr>
      <w:r w:rsidRPr="003972BA">
        <w:rPr>
          <w:sz w:val="28"/>
          <w:szCs w:val="28"/>
          <w:lang w:val="uk-UA"/>
        </w:rPr>
        <w:lastRenderedPageBreak/>
        <w:t xml:space="preserve">Пояснення: </w:t>
      </w:r>
    </w:p>
    <w:p w:rsidR="00FC5C78" w:rsidRPr="003972BA" w:rsidRDefault="00FC5C78" w:rsidP="00FC5C78">
      <w:pPr>
        <w:ind w:firstLine="567"/>
        <w:jc w:val="both"/>
        <w:rPr>
          <w:sz w:val="28"/>
          <w:szCs w:val="28"/>
          <w:lang w:val="uk-UA"/>
        </w:rPr>
      </w:pPr>
      <w:r w:rsidRPr="003972BA">
        <w:rPr>
          <w:sz w:val="28"/>
          <w:szCs w:val="28"/>
          <w:lang w:val="uk-UA"/>
        </w:rPr>
        <w:t>1. Нарахована амортизація основних засобів виробничого призначення.</w:t>
      </w:r>
    </w:p>
    <w:p w:rsidR="00FC5C78" w:rsidRPr="003972BA" w:rsidRDefault="00FC5C78" w:rsidP="00FC5C78">
      <w:pPr>
        <w:ind w:firstLine="567"/>
        <w:jc w:val="both"/>
        <w:rPr>
          <w:sz w:val="28"/>
          <w:szCs w:val="28"/>
          <w:lang w:val="uk-UA"/>
        </w:rPr>
      </w:pPr>
      <w:r w:rsidRPr="003972BA">
        <w:rPr>
          <w:sz w:val="28"/>
          <w:szCs w:val="28"/>
          <w:lang w:val="uk-UA"/>
        </w:rPr>
        <w:t>2. Нарахована амортизація основних засобів, що забезпечують збут.</w:t>
      </w:r>
    </w:p>
    <w:p w:rsidR="00FC5C78" w:rsidRPr="003972BA" w:rsidRDefault="00FC5C78" w:rsidP="00FC5C78">
      <w:pPr>
        <w:ind w:firstLine="567"/>
        <w:jc w:val="both"/>
        <w:rPr>
          <w:sz w:val="28"/>
          <w:szCs w:val="28"/>
          <w:lang w:val="uk-UA"/>
        </w:rPr>
      </w:pPr>
      <w:r w:rsidRPr="003972BA">
        <w:rPr>
          <w:sz w:val="28"/>
          <w:szCs w:val="28"/>
          <w:lang w:val="uk-UA"/>
        </w:rPr>
        <w:t>3. Нарахована амортизація основних засобів, що використовуються для досліджень і розробок.</w:t>
      </w:r>
    </w:p>
    <w:p w:rsidR="00FC5C78" w:rsidRPr="003972BA" w:rsidRDefault="00FC5C78" w:rsidP="00FC5C78">
      <w:pPr>
        <w:ind w:firstLine="567"/>
        <w:jc w:val="both"/>
        <w:rPr>
          <w:sz w:val="28"/>
          <w:szCs w:val="28"/>
          <w:lang w:val="uk-UA"/>
        </w:rPr>
      </w:pPr>
      <w:r w:rsidRPr="003972BA">
        <w:rPr>
          <w:sz w:val="28"/>
          <w:szCs w:val="28"/>
          <w:lang w:val="uk-UA"/>
        </w:rPr>
        <w:t xml:space="preserve">4. Нарахована амортизація основних засобів загальногосподарського </w:t>
      </w:r>
      <w:proofErr w:type="spellStart"/>
      <w:r w:rsidRPr="003972BA">
        <w:rPr>
          <w:sz w:val="28"/>
          <w:szCs w:val="28"/>
          <w:lang w:val="uk-UA"/>
        </w:rPr>
        <w:t>при-</w:t>
      </w:r>
      <w:proofErr w:type="spellEnd"/>
      <w:r w:rsidRPr="003972BA">
        <w:rPr>
          <w:sz w:val="28"/>
          <w:szCs w:val="28"/>
          <w:lang w:val="uk-UA"/>
        </w:rPr>
        <w:br/>
        <w:t>значення.</w:t>
      </w:r>
    </w:p>
    <w:p w:rsidR="00FC5C78" w:rsidRPr="003972BA" w:rsidRDefault="00FC5C78" w:rsidP="00FC5C78">
      <w:pPr>
        <w:ind w:firstLine="567"/>
        <w:jc w:val="both"/>
        <w:rPr>
          <w:sz w:val="28"/>
          <w:szCs w:val="28"/>
          <w:lang w:val="uk-UA"/>
        </w:rPr>
      </w:pPr>
      <w:r w:rsidRPr="003972BA">
        <w:rPr>
          <w:sz w:val="28"/>
          <w:szCs w:val="28"/>
          <w:lang w:val="uk-UA"/>
        </w:rPr>
        <w:t>5. Нарахована амортизація основних засобів ЖКГ і соціальної сфери.</w:t>
      </w:r>
    </w:p>
    <w:p w:rsidR="00FC5C78" w:rsidRPr="003972BA" w:rsidRDefault="00FC5C78" w:rsidP="00FC5C78">
      <w:pPr>
        <w:ind w:firstLine="567"/>
        <w:rPr>
          <w:sz w:val="28"/>
          <w:szCs w:val="28"/>
          <w:lang w:val="uk-UA"/>
        </w:rPr>
      </w:pPr>
    </w:p>
    <w:p w:rsidR="00FC5C78" w:rsidRPr="003972BA" w:rsidRDefault="00FC5C78" w:rsidP="00FC5C78">
      <w:pPr>
        <w:ind w:firstLine="567"/>
        <w:jc w:val="center"/>
        <w:rPr>
          <w:sz w:val="28"/>
          <w:szCs w:val="28"/>
          <w:lang w:val="uk-UA"/>
        </w:rPr>
      </w:pPr>
      <w:r w:rsidRPr="003972BA">
        <w:rPr>
          <w:sz w:val="28"/>
          <w:szCs w:val="28"/>
          <w:lang w:val="uk-UA"/>
        </w:rPr>
        <w:object w:dxaOrig="6465" w:dyaOrig="765">
          <v:shape id="_x0000_i1029" type="#_x0000_t75" style="width:323.25pt;height:38.25pt" fillcolor="window">
            <v:imagedata r:id="rId8" o:title=""/>
          </v:shape>
        </w:object>
      </w:r>
    </w:p>
    <w:p w:rsidR="00FC5C78" w:rsidRPr="003972BA" w:rsidRDefault="00FC5C78" w:rsidP="00FC5C78">
      <w:pPr>
        <w:ind w:firstLine="567"/>
        <w:jc w:val="center"/>
        <w:rPr>
          <w:sz w:val="28"/>
          <w:szCs w:val="28"/>
          <w:lang w:val="uk-UA"/>
        </w:rPr>
      </w:pPr>
    </w:p>
    <w:p w:rsidR="00F87F42" w:rsidRDefault="00FC5C78" w:rsidP="00FC5C78">
      <w:pPr>
        <w:ind w:firstLine="567"/>
        <w:jc w:val="both"/>
        <w:rPr>
          <w:sz w:val="28"/>
          <w:szCs w:val="28"/>
          <w:lang w:val="uk-UA"/>
        </w:rPr>
      </w:pPr>
      <w:r w:rsidRPr="003972BA">
        <w:rPr>
          <w:sz w:val="28"/>
          <w:szCs w:val="28"/>
          <w:lang w:val="uk-UA"/>
        </w:rPr>
        <w:t>Рис. 6.14. Облік амортизації основних засобів (для підприємств, що використовують рахунки класу 8 «Витрати за елементами»</w:t>
      </w:r>
    </w:p>
    <w:p w:rsidR="00F87F42" w:rsidRDefault="00F87F42">
      <w:pPr>
        <w:spacing w:after="200" w:line="276" w:lineRule="auto"/>
        <w:rPr>
          <w:sz w:val="28"/>
          <w:szCs w:val="28"/>
          <w:lang w:val="uk-UA"/>
        </w:rPr>
      </w:pPr>
      <w:r>
        <w:rPr>
          <w:sz w:val="28"/>
          <w:szCs w:val="28"/>
          <w:lang w:val="uk-UA"/>
        </w:rPr>
        <w:br w:type="page"/>
      </w:r>
    </w:p>
    <w:sectPr w:rsidR="00F87F42" w:rsidSect="005A7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C78"/>
    <w:rsid w:val="003972BA"/>
    <w:rsid w:val="005A7B39"/>
    <w:rsid w:val="00F87F42"/>
    <w:rsid w:val="00FC5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C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782</Words>
  <Characters>4463</Characters>
  <Application>Microsoft Office Word</Application>
  <DocSecurity>0</DocSecurity>
  <Lines>37</Lines>
  <Paragraphs>10</Paragraphs>
  <ScaleCrop>false</ScaleCrop>
  <Company>Microsoft</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dc:creator>
  <cp:keywords/>
  <dc:description/>
  <cp:lastModifiedBy>ИМ</cp:lastModifiedBy>
  <cp:revision>3</cp:revision>
  <dcterms:created xsi:type="dcterms:W3CDTF">2012-02-08T10:39:00Z</dcterms:created>
  <dcterms:modified xsi:type="dcterms:W3CDTF">2012-02-08T10:41:00Z</dcterms:modified>
</cp:coreProperties>
</file>